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A108" w14:textId="77777777" w:rsidR="00C27297" w:rsidRDefault="00C27297" w:rsidP="00CE6BEC">
      <w:pPr>
        <w:pStyle w:val="AralkYok"/>
        <w:jc w:val="center"/>
        <w:rPr>
          <w:rFonts w:ascii="Cambria" w:hAnsi="Cambria"/>
          <w:b/>
          <w:color w:val="002060"/>
        </w:rPr>
      </w:pPr>
    </w:p>
    <w:p w14:paraId="63E26A95" w14:textId="3C577990" w:rsidR="00CE6BEC" w:rsidRPr="00C27297" w:rsidRDefault="001A6C22" w:rsidP="00C27297">
      <w:pPr>
        <w:pStyle w:val="AralkYok"/>
        <w:spacing w:after="240"/>
        <w:jc w:val="center"/>
        <w:rPr>
          <w:rFonts w:ascii="Cambria" w:hAnsi="Cambria"/>
          <w:b/>
          <w:color w:val="002060"/>
        </w:rPr>
      </w:pPr>
      <w:r>
        <w:rPr>
          <w:rFonts w:ascii="Cambria" w:hAnsi="Cambria"/>
          <w:b/>
          <w:color w:val="002060"/>
        </w:rPr>
        <w:t xml:space="preserve">ALAN/KLİNİK UYGULAMA KOMİSYONU </w:t>
      </w:r>
      <w:r w:rsidR="00CE6BEC" w:rsidRPr="00CE6BEC">
        <w:rPr>
          <w:rFonts w:ascii="Cambria" w:hAnsi="Cambria"/>
          <w:b/>
          <w:color w:val="002060"/>
        </w:rPr>
        <w:t>TEMEL GÖREV ve SORUMLULUKLARI</w:t>
      </w:r>
    </w:p>
    <w:p w14:paraId="591F0623" w14:textId="0BBC717D" w:rsidR="00B9114F" w:rsidRPr="00A42197" w:rsidRDefault="00CE6BEC" w:rsidP="001A6C22">
      <w:pPr>
        <w:jc w:val="both"/>
        <w:rPr>
          <w:rFonts w:ascii="Cambria" w:hAnsi="Cambria"/>
        </w:rPr>
      </w:pPr>
      <w:r w:rsidRPr="00A42197">
        <w:rPr>
          <w:rFonts w:ascii="Cambria" w:hAnsi="Cambria"/>
        </w:rPr>
        <w:t>Sağlık Bilimleri Fakültesindeki Alan/Klinik Uygulama Komisyonu’nun yapılanma ve çalışma ilkeleri faaliyet alanları, amaçları, görev, yetki ve sorumluluklarına ilişkin esaslarına uygun olarak aşağıda tanım görev ve sorumlulukların tam ve zamanında oluşmasını sağlamak amacıyla komisyonun temel görev v</w:t>
      </w:r>
      <w:r w:rsidR="00A42197">
        <w:rPr>
          <w:rFonts w:ascii="Cambria" w:hAnsi="Cambria"/>
        </w:rPr>
        <w:t>e sorumlulukları tanımlanmıştır:</w:t>
      </w:r>
    </w:p>
    <w:p w14:paraId="67A0A7EF" w14:textId="77777777" w:rsidR="00CE6BEC" w:rsidRPr="00A42197" w:rsidRDefault="00CE6BEC" w:rsidP="001A6C22">
      <w:pPr>
        <w:pStyle w:val="ListeParagraf"/>
        <w:numPr>
          <w:ilvl w:val="0"/>
          <w:numId w:val="5"/>
        </w:numPr>
        <w:jc w:val="both"/>
        <w:rPr>
          <w:rFonts w:ascii="Cambria" w:hAnsi="Cambria"/>
        </w:rPr>
      </w:pPr>
      <w:r w:rsidRPr="00A42197">
        <w:rPr>
          <w:rFonts w:ascii="Cambria" w:hAnsi="Cambria"/>
        </w:rPr>
        <w:t>Eğitim öğretim döneminde bölüm komisyonları tarafından hazırlanan alan/klinik uygulama programını ve uygulama sürecini kontrol eder.</w:t>
      </w:r>
    </w:p>
    <w:p w14:paraId="733D7B22" w14:textId="41908468" w:rsidR="00CE6BEC" w:rsidRPr="00A42197" w:rsidRDefault="00CE6BEC" w:rsidP="001A6C22">
      <w:pPr>
        <w:pStyle w:val="ListeParagraf"/>
        <w:numPr>
          <w:ilvl w:val="0"/>
          <w:numId w:val="5"/>
        </w:numPr>
        <w:jc w:val="both"/>
        <w:rPr>
          <w:rFonts w:ascii="Cambria" w:hAnsi="Cambria"/>
        </w:rPr>
      </w:pPr>
      <w:r w:rsidRPr="00A42197">
        <w:rPr>
          <w:rFonts w:ascii="Cambria" w:hAnsi="Cambria"/>
        </w:rPr>
        <w:t xml:space="preserve">Bölümün tüm alan/klinik uygulama alanlarının sorumlu öğretim elemanları ile işbirliği içinde çalışır. </w:t>
      </w:r>
    </w:p>
    <w:p w14:paraId="1B16B8B1" w14:textId="77777777" w:rsidR="00CE6BEC" w:rsidRPr="00A42197" w:rsidRDefault="00CE6BEC" w:rsidP="001A6C22">
      <w:pPr>
        <w:pStyle w:val="ListeParagraf"/>
        <w:numPr>
          <w:ilvl w:val="0"/>
          <w:numId w:val="5"/>
        </w:numPr>
        <w:jc w:val="both"/>
        <w:rPr>
          <w:rFonts w:ascii="Cambria" w:hAnsi="Cambria"/>
        </w:rPr>
      </w:pPr>
      <w:r w:rsidRPr="00A42197">
        <w:rPr>
          <w:rFonts w:ascii="Cambria" w:hAnsi="Cambria"/>
        </w:rPr>
        <w:t xml:space="preserve">Bölüme yönelik alan/klinik uygulama dersi kapsamında gerekli önerileri ve düzenlemeleri değerlendirir ve süreci bölümlerle birlikte yönetir. </w:t>
      </w:r>
    </w:p>
    <w:p w14:paraId="758402A2" w14:textId="2B8D375F" w:rsidR="00CE6BEC" w:rsidRPr="00A42197" w:rsidRDefault="00CE6BEC" w:rsidP="001A6C22">
      <w:pPr>
        <w:pStyle w:val="ListeParagraf"/>
        <w:numPr>
          <w:ilvl w:val="0"/>
          <w:numId w:val="5"/>
        </w:numPr>
        <w:jc w:val="both"/>
        <w:rPr>
          <w:rFonts w:ascii="Cambria" w:hAnsi="Cambria"/>
        </w:rPr>
      </w:pPr>
      <w:r w:rsidRPr="00A42197">
        <w:rPr>
          <w:rFonts w:ascii="Cambria" w:hAnsi="Cambria"/>
        </w:rPr>
        <w:t xml:space="preserve">Mesleki uygulamaların öğrenci alan/klinik uygulama rehberleri kapsamında tanımlı yöntem ve yönetim tanımlarını işbirliği içerisinde yürütülmesini sağlar. </w:t>
      </w:r>
    </w:p>
    <w:p w14:paraId="753325B3" w14:textId="77777777" w:rsidR="00CE6BEC" w:rsidRPr="00A42197" w:rsidRDefault="00CE6BEC" w:rsidP="001A6C22">
      <w:pPr>
        <w:pStyle w:val="ListeParagraf"/>
        <w:numPr>
          <w:ilvl w:val="0"/>
          <w:numId w:val="5"/>
        </w:numPr>
        <w:jc w:val="both"/>
        <w:rPr>
          <w:rFonts w:ascii="Cambria" w:hAnsi="Cambria"/>
        </w:rPr>
      </w:pPr>
      <w:r w:rsidRPr="00A42197">
        <w:rPr>
          <w:rFonts w:ascii="Cambria" w:hAnsi="Cambria"/>
        </w:rPr>
        <w:t xml:space="preserve">Öğrencilerin teorik bilgisini uygulamaya aktarabileceği alan/klinik uygulama alanlarını öğrenci sayısı ve belirlenen alanların özelliklerine göre uygunluğunu kontrol eder. </w:t>
      </w:r>
    </w:p>
    <w:p w14:paraId="24177343" w14:textId="77777777" w:rsidR="00CE6BEC" w:rsidRPr="00A42197" w:rsidRDefault="00CE6BEC" w:rsidP="001A6C22">
      <w:pPr>
        <w:pStyle w:val="ListeParagraf"/>
        <w:numPr>
          <w:ilvl w:val="0"/>
          <w:numId w:val="5"/>
        </w:numPr>
        <w:jc w:val="both"/>
        <w:rPr>
          <w:rFonts w:ascii="Cambria" w:hAnsi="Cambria"/>
        </w:rPr>
      </w:pPr>
      <w:r w:rsidRPr="00A42197">
        <w:rPr>
          <w:rFonts w:ascii="Cambria" w:hAnsi="Cambria"/>
        </w:rPr>
        <w:t xml:space="preserve">Bölümün anabilim dallarınca hazırlanan alan/klinik uygulama dersi öğrenme hedeflerinin ölçüldüğü öğrenci değerlendirme formunun anabilim dalları tarafından kullanılmasını sağlar. </w:t>
      </w:r>
    </w:p>
    <w:p w14:paraId="68785D75" w14:textId="77777777" w:rsidR="00CE6BEC" w:rsidRPr="00A42197" w:rsidRDefault="00CE6BEC" w:rsidP="001A6C22">
      <w:pPr>
        <w:pStyle w:val="ListeParagraf"/>
        <w:numPr>
          <w:ilvl w:val="0"/>
          <w:numId w:val="5"/>
        </w:numPr>
        <w:jc w:val="both"/>
        <w:rPr>
          <w:rFonts w:ascii="Cambria" w:hAnsi="Cambria"/>
        </w:rPr>
      </w:pPr>
      <w:r w:rsidRPr="00A42197">
        <w:rPr>
          <w:rFonts w:ascii="Cambria" w:hAnsi="Cambria"/>
        </w:rPr>
        <w:t>Alan/klinik uygulama alanları için ilgili kuruluşlardan izin alınmasını işlemlerini planlar.</w:t>
      </w:r>
    </w:p>
    <w:p w14:paraId="554B2D70" w14:textId="48186510" w:rsidR="00CE6BEC" w:rsidRPr="00A42197" w:rsidRDefault="00CE6BEC" w:rsidP="001A6C22">
      <w:pPr>
        <w:pStyle w:val="ListeParagraf"/>
        <w:numPr>
          <w:ilvl w:val="0"/>
          <w:numId w:val="5"/>
        </w:numPr>
        <w:jc w:val="both"/>
        <w:rPr>
          <w:rFonts w:ascii="Cambria" w:hAnsi="Cambria"/>
        </w:rPr>
      </w:pPr>
      <w:r w:rsidRPr="00A42197">
        <w:rPr>
          <w:rFonts w:ascii="Cambria" w:hAnsi="Cambria"/>
        </w:rPr>
        <w:t xml:space="preserve">Alan/klinik uygulamaya çıkacak olan öğrencilerin uygulama önce sigorta giriş işlemlerinin yapılma işlemlerini </w:t>
      </w:r>
      <w:r w:rsidR="00A42197">
        <w:rPr>
          <w:rFonts w:ascii="Cambria" w:hAnsi="Cambria"/>
        </w:rPr>
        <w:t>yürütülmesini</w:t>
      </w:r>
      <w:r w:rsidRPr="00A42197">
        <w:rPr>
          <w:rFonts w:ascii="Cambria" w:hAnsi="Cambria"/>
        </w:rPr>
        <w:t xml:space="preserve"> denetler.</w:t>
      </w:r>
    </w:p>
    <w:p w14:paraId="66540BE9" w14:textId="77777777" w:rsidR="00CE6BEC" w:rsidRPr="00A42197" w:rsidRDefault="00CE6BEC" w:rsidP="001A6C22">
      <w:pPr>
        <w:pStyle w:val="ListeParagraf"/>
        <w:numPr>
          <w:ilvl w:val="0"/>
          <w:numId w:val="5"/>
        </w:numPr>
        <w:jc w:val="both"/>
        <w:rPr>
          <w:rFonts w:ascii="Cambria" w:hAnsi="Cambria"/>
        </w:rPr>
      </w:pPr>
      <w:r w:rsidRPr="00A42197">
        <w:rPr>
          <w:rFonts w:ascii="Cambria" w:hAnsi="Cambria"/>
        </w:rPr>
        <w:t>Alan/klinik uygulamaya çıkacak olan öğrencilerin uygulamada kullanılacak olan formanın belirlenmesini sağlar.</w:t>
      </w:r>
    </w:p>
    <w:p w14:paraId="26AD7233" w14:textId="16475662" w:rsidR="00CE6BEC" w:rsidRPr="00A42197" w:rsidRDefault="00CE6BEC" w:rsidP="001A6C22">
      <w:pPr>
        <w:pStyle w:val="ListeParagraf"/>
        <w:numPr>
          <w:ilvl w:val="0"/>
          <w:numId w:val="5"/>
        </w:numPr>
        <w:jc w:val="both"/>
        <w:rPr>
          <w:rFonts w:ascii="Cambria" w:hAnsi="Cambria"/>
        </w:rPr>
      </w:pPr>
      <w:r w:rsidRPr="00A42197">
        <w:rPr>
          <w:rFonts w:ascii="Cambria" w:hAnsi="Cambria"/>
        </w:rPr>
        <w:t>Kanun ve yönetmeliklerle verilen diğer görevleri yap</w:t>
      </w:r>
      <w:r w:rsidR="005301D7">
        <w:rPr>
          <w:rFonts w:ascii="Cambria" w:hAnsi="Cambria"/>
        </w:rPr>
        <w:t>ar.</w:t>
      </w:r>
    </w:p>
    <w:p w14:paraId="704EF560" w14:textId="0D610847" w:rsidR="00CE6BEC" w:rsidRPr="00A42197" w:rsidRDefault="00CE6BEC" w:rsidP="001A6C22">
      <w:pPr>
        <w:pStyle w:val="ListeParagraf"/>
        <w:numPr>
          <w:ilvl w:val="0"/>
          <w:numId w:val="5"/>
        </w:numPr>
        <w:jc w:val="both"/>
        <w:rPr>
          <w:rFonts w:ascii="Cambria" w:hAnsi="Cambria"/>
        </w:rPr>
      </w:pPr>
      <w:r w:rsidRPr="00A42197">
        <w:rPr>
          <w:rFonts w:ascii="Cambria" w:hAnsi="Cambria"/>
        </w:rPr>
        <w:t>Alan/Klinik Uygulama Komisyonu alınan kararları Dekanlık Makamına bildir</w:t>
      </w:r>
      <w:r w:rsidR="005301D7">
        <w:rPr>
          <w:rFonts w:ascii="Cambria" w:hAnsi="Cambria"/>
        </w:rPr>
        <w:t>ir.</w:t>
      </w:r>
    </w:p>
    <w:p w14:paraId="3EB0E471" w14:textId="202866ED" w:rsidR="00CE6BEC" w:rsidRPr="00A42197" w:rsidRDefault="00CE6BEC" w:rsidP="001A6C22">
      <w:pPr>
        <w:pStyle w:val="ListeParagraf"/>
        <w:numPr>
          <w:ilvl w:val="0"/>
          <w:numId w:val="5"/>
        </w:numPr>
        <w:jc w:val="both"/>
        <w:rPr>
          <w:rFonts w:ascii="Cambria" w:hAnsi="Cambria"/>
        </w:rPr>
      </w:pPr>
      <w:r w:rsidRPr="00A42197">
        <w:rPr>
          <w:rFonts w:ascii="Cambria" w:hAnsi="Cambria"/>
        </w:rPr>
        <w:t>Alan/Klinik Uygulama Komisyonu, Dekana karşı sorumludur.</w:t>
      </w:r>
    </w:p>
    <w:p w14:paraId="001FD1EA" w14:textId="77777777" w:rsidR="00CE6BEC" w:rsidRPr="003B5F4C" w:rsidRDefault="00CE6BEC">
      <w:pPr>
        <w:jc w:val="both"/>
      </w:pPr>
    </w:p>
    <w:sectPr w:rsidR="00CE6BEC" w:rsidRPr="003B5F4C" w:rsidSect="00EA1C61">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ED73" w14:textId="77777777" w:rsidR="00EA1C61" w:rsidRDefault="00EA1C61" w:rsidP="00534F7F">
      <w:pPr>
        <w:spacing w:after="0" w:line="240" w:lineRule="auto"/>
      </w:pPr>
      <w:r>
        <w:separator/>
      </w:r>
    </w:p>
  </w:endnote>
  <w:endnote w:type="continuationSeparator" w:id="0">
    <w:p w14:paraId="521CF09E" w14:textId="77777777" w:rsidR="00EA1C61" w:rsidRDefault="00EA1C6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F44F" w14:textId="77777777" w:rsidR="00EA1C61" w:rsidRDefault="00EA1C61" w:rsidP="00534F7F">
      <w:pPr>
        <w:spacing w:after="0" w:line="240" w:lineRule="auto"/>
      </w:pPr>
      <w:r>
        <w:separator/>
      </w:r>
    </w:p>
  </w:footnote>
  <w:footnote w:type="continuationSeparator" w:id="0">
    <w:p w14:paraId="569F1CB1" w14:textId="77777777" w:rsidR="00EA1C61" w:rsidRDefault="00EA1C6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495EEBB1" w14:textId="77777777" w:rsidR="001A6C22" w:rsidRDefault="00CE6BEC" w:rsidP="00CE6BEC">
          <w:pPr>
            <w:pStyle w:val="AralkYok"/>
            <w:jc w:val="center"/>
            <w:rPr>
              <w:rFonts w:ascii="Cambria" w:hAnsi="Cambria"/>
              <w:b/>
              <w:color w:val="002060"/>
            </w:rPr>
          </w:pPr>
          <w:r w:rsidRPr="00CE6BEC">
            <w:rPr>
              <w:rFonts w:ascii="Cambria" w:hAnsi="Cambria"/>
              <w:b/>
              <w:color w:val="002060"/>
            </w:rPr>
            <w:t>ALAN/KLİNİK UYGULAMA KOMİSYONU</w:t>
          </w:r>
        </w:p>
        <w:p w14:paraId="1749EF0D" w14:textId="5984D17F" w:rsidR="00323DBB" w:rsidRPr="00125AAB" w:rsidRDefault="00CE6BEC" w:rsidP="00CE6BEC">
          <w:pPr>
            <w:pStyle w:val="AralkYok"/>
            <w:jc w:val="center"/>
            <w:rPr>
              <w:rFonts w:ascii="Cambria" w:hAnsi="Cambria"/>
              <w:b/>
              <w:color w:val="002060"/>
            </w:rPr>
          </w:pPr>
          <w:r w:rsidRPr="00CE6BEC">
            <w:rPr>
              <w:rFonts w:ascii="Cambria" w:hAnsi="Cambria"/>
              <w:b/>
              <w:color w:val="002060"/>
            </w:rPr>
            <w:t xml:space="preserve">  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0C4B547A" w:rsidR="00C27297"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C27297">
            <w:rPr>
              <w:rFonts w:ascii="Cambria" w:hAnsi="Cambria"/>
              <w:color w:val="002060"/>
              <w:sz w:val="16"/>
              <w:szCs w:val="16"/>
            </w:rPr>
            <w:t>R-20</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26387497" w:rsidR="00404B7B" w:rsidRPr="00125AAB" w:rsidRDefault="00C27297">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A42197">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A42197" w:rsidRPr="00A42197">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B75"/>
    <w:multiLevelType w:val="hybridMultilevel"/>
    <w:tmpl w:val="B10CC3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502A46"/>
    <w:multiLevelType w:val="hybridMultilevel"/>
    <w:tmpl w:val="EB0AA60C"/>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52439682">
    <w:abstractNumId w:val="5"/>
  </w:num>
  <w:num w:numId="2" w16cid:durableId="615672745">
    <w:abstractNumId w:val="3"/>
  </w:num>
  <w:num w:numId="3" w16cid:durableId="803352305">
    <w:abstractNumId w:val="1"/>
  </w:num>
  <w:num w:numId="4" w16cid:durableId="485167953">
    <w:abstractNumId w:val="4"/>
  </w:num>
  <w:num w:numId="5" w16cid:durableId="21904772">
    <w:abstractNumId w:val="2"/>
  </w:num>
  <w:num w:numId="6" w16cid:durableId="79413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9114E"/>
    <w:rsid w:val="001A6C22"/>
    <w:rsid w:val="001C7043"/>
    <w:rsid w:val="001E7A7D"/>
    <w:rsid w:val="001F05E5"/>
    <w:rsid w:val="001F6791"/>
    <w:rsid w:val="0021052A"/>
    <w:rsid w:val="00222BBC"/>
    <w:rsid w:val="00223841"/>
    <w:rsid w:val="00236E1E"/>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B5F4C"/>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01D7"/>
    <w:rsid w:val="00534F7F"/>
    <w:rsid w:val="00543C43"/>
    <w:rsid w:val="00551856"/>
    <w:rsid w:val="00551B24"/>
    <w:rsid w:val="00562A0A"/>
    <w:rsid w:val="00565ECD"/>
    <w:rsid w:val="005710BB"/>
    <w:rsid w:val="005A744B"/>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2B1"/>
    <w:rsid w:val="006C45BA"/>
    <w:rsid w:val="006C69C7"/>
    <w:rsid w:val="006D3E1D"/>
    <w:rsid w:val="006E1035"/>
    <w:rsid w:val="00715C4E"/>
    <w:rsid w:val="007338BD"/>
    <w:rsid w:val="0073606C"/>
    <w:rsid w:val="00755E42"/>
    <w:rsid w:val="0075616C"/>
    <w:rsid w:val="007629A1"/>
    <w:rsid w:val="00771C04"/>
    <w:rsid w:val="007A441D"/>
    <w:rsid w:val="007A6926"/>
    <w:rsid w:val="007D4382"/>
    <w:rsid w:val="0080448E"/>
    <w:rsid w:val="00856D6A"/>
    <w:rsid w:val="00870E32"/>
    <w:rsid w:val="008717B5"/>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32E28"/>
    <w:rsid w:val="00A354CE"/>
    <w:rsid w:val="00A36E14"/>
    <w:rsid w:val="00A42197"/>
    <w:rsid w:val="00A51CF3"/>
    <w:rsid w:val="00AD3475"/>
    <w:rsid w:val="00B02129"/>
    <w:rsid w:val="00B06EC8"/>
    <w:rsid w:val="00B17704"/>
    <w:rsid w:val="00B37D1A"/>
    <w:rsid w:val="00B42D7B"/>
    <w:rsid w:val="00B609FE"/>
    <w:rsid w:val="00B81276"/>
    <w:rsid w:val="00B812D7"/>
    <w:rsid w:val="00B9114F"/>
    <w:rsid w:val="00B92233"/>
    <w:rsid w:val="00B94075"/>
    <w:rsid w:val="00BB5A1A"/>
    <w:rsid w:val="00BB6046"/>
    <w:rsid w:val="00BC7571"/>
    <w:rsid w:val="00BE1053"/>
    <w:rsid w:val="00BE662B"/>
    <w:rsid w:val="00C13630"/>
    <w:rsid w:val="00C27297"/>
    <w:rsid w:val="00C305C2"/>
    <w:rsid w:val="00C5626C"/>
    <w:rsid w:val="00C704DF"/>
    <w:rsid w:val="00C952AE"/>
    <w:rsid w:val="00CB50E2"/>
    <w:rsid w:val="00CB7D63"/>
    <w:rsid w:val="00CC0C83"/>
    <w:rsid w:val="00CC6D8A"/>
    <w:rsid w:val="00CE1228"/>
    <w:rsid w:val="00CE6BEC"/>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C61"/>
    <w:rsid w:val="00EA1D23"/>
    <w:rsid w:val="00EA29AB"/>
    <w:rsid w:val="00EA5435"/>
    <w:rsid w:val="00EB17A0"/>
    <w:rsid w:val="00EB2337"/>
    <w:rsid w:val="00EB32F6"/>
    <w:rsid w:val="00EB5D05"/>
    <w:rsid w:val="00EB7551"/>
    <w:rsid w:val="00ED1BC4"/>
    <w:rsid w:val="00EE3346"/>
    <w:rsid w:val="00F003C2"/>
    <w:rsid w:val="00F22E0B"/>
    <w:rsid w:val="00F405E2"/>
    <w:rsid w:val="00F65747"/>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7</cp:revision>
  <dcterms:created xsi:type="dcterms:W3CDTF">2024-03-06T10:20:00Z</dcterms:created>
  <dcterms:modified xsi:type="dcterms:W3CDTF">2024-03-09T22:18:00Z</dcterms:modified>
</cp:coreProperties>
</file>